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7"/>
          <w:szCs w:val="17"/>
          <w:shd w:val="clear" w:fill="FFFFFF"/>
        </w:rPr>
        <w:t>实验能力考核与面试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shd w:val="clear" w:fill="FFFFFF"/>
          <w:lang w:val="en-US" w:eastAsia="zh-CN" w:bidi="ar"/>
        </w:rPr>
        <w:t>内容</w:t>
      </w:r>
    </w:p>
    <w:tbl>
      <w:tblPr>
        <w:tblW w:w="7325" w:type="dxa"/>
        <w:jc w:val="center"/>
        <w:tblCellSpacing w:w="0" w:type="dxa"/>
        <w:tblInd w:w="5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85"/>
        <w:gridCol w:w="8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科目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占总成绩比例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实验考核考察考生适应岗位要求应具备的专业技术能力。参考资料选用《分析化学实验指导》（第三版）,赵怀清主编,人民卫生出版社出版。实验能力考核采用百分制计分，成绩按其所占比例折合后计入考试总成绩，成绩保留两位小数。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抽签进行现场答辩，主要考查考生的理论水平、思维能力、表达能力和仪态举止等。无指定参考资料。面试采用百分制计分，成绩按其所占比例折合后计入考试总成绩，成绩保留两位小数。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65A0"/>
    <w:rsid w:val="7AF76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2019-10-30T09:12:00Z</dcterms:created>
  <dc:creator>ASUS</dc:creator>
  <cp:lastModifiedBy>ASUS</cp:lastModifiedBy>
  <dcterms:modified xsi:type="dcterms:W3CDTF">2019-10-30T09:31:53Z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