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b/>
          <w:color w:val="FF0000"/>
          <w:kern w:val="0"/>
          <w:sz w:val="28"/>
          <w:szCs w:val="28"/>
          <w:shd w:val="clear" w:fill="FFFFFF"/>
          <w:lang w:val="en-US" w:eastAsia="zh-CN" w:bidi="ar"/>
        </w:rPr>
        <w:t>四川省知识产权服务促进中心</w:t>
      </w:r>
      <w:bookmarkStart w:id="0" w:name="_GoBack"/>
      <w:bookmarkEnd w:id="0"/>
      <w:r>
        <w:rPr>
          <w:rFonts w:hint="eastAsia" w:ascii="宋体" w:hAnsi="宋体" w:eastAsia="宋体" w:cs="宋体"/>
          <w:b/>
          <w:kern w:val="0"/>
          <w:sz w:val="22"/>
          <w:szCs w:val="22"/>
          <w:shd w:val="clear" w:fill="FFFFFF"/>
          <w:lang w:val="en-US" w:eastAsia="zh-CN" w:bidi="ar"/>
        </w:rPr>
        <w:t>招聘单位基本情况</w:t>
      </w:r>
    </w:p>
    <w:tbl>
      <w:tblPr>
        <w:tblW w:w="8362"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26"/>
        <w:gridCol w:w="66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jc w:val="center"/>
        </w:trPr>
        <w:tc>
          <w:tcPr>
            <w:tcW w:w="1726" w:type="dxa"/>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单位名称</w:t>
            </w:r>
          </w:p>
        </w:tc>
        <w:tc>
          <w:tcPr>
            <w:tcW w:w="6636"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四川省知识产权保护中心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1726"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单位性质</w:t>
            </w:r>
          </w:p>
        </w:tc>
        <w:tc>
          <w:tcPr>
            <w:tcW w:w="663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   四川省知识产权保护中心是四川省知识产权服务促进中心管理的公益一类事业单位，实行“收支统管，全额保障”（全额拨款）的预算管理办法。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jc w:val="center"/>
        </w:trPr>
        <w:tc>
          <w:tcPr>
            <w:tcW w:w="1726"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单位地址</w:t>
            </w:r>
          </w:p>
        </w:tc>
        <w:tc>
          <w:tcPr>
            <w:tcW w:w="663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 xml:space="preserve">成都高新区天府五街200号菁蓉汇7号楼8层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jc w:val="center"/>
        </w:trPr>
        <w:tc>
          <w:tcPr>
            <w:tcW w:w="1726"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主要职能</w:t>
            </w:r>
          </w:p>
        </w:tc>
        <w:tc>
          <w:tcPr>
            <w:tcW w:w="663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firstLine="440"/>
              <w:jc w:val="left"/>
            </w:pPr>
            <w:r>
              <w:rPr>
                <w:rFonts w:hint="eastAsia" w:ascii="宋体" w:hAnsi="宋体" w:eastAsia="宋体" w:cs="宋体"/>
                <w:kern w:val="0"/>
                <w:sz w:val="22"/>
                <w:szCs w:val="22"/>
                <w:lang w:val="en-US" w:eastAsia="zh-CN" w:bidi="ar"/>
              </w:rPr>
              <w:t>承担国家知识产权局授予中国（四川）知识产权保护中心面向我省“5+1”现代产业体系的新一代信息技术和装备制造等产业领域开展发明、实用新型、外观设计专利申请的快速审查、快速授权、快速确权、快速维权、专利导航和协助行政执法以及相关知识产权保护、服务等工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76EC1"/>
    <w:rsid w:val="0AE76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2019-10-23T06:21:00Z</dcterms:created>
  <dc:creator>ASUS</dc:creator>
  <cp:lastModifiedBy>ASUS</cp:lastModifiedBy>
  <dcterms:modified xsi:type="dcterms:W3CDTF">2019-10-23T06:21:23Z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